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ADF59">
      <w:pPr>
        <w:jc w:val="center"/>
        <w:rPr>
          <w:rFonts w:hint="eastAsia" w:ascii="长城小标宋体A" w:hAnsi="长城小标宋体A" w:eastAsia="长城小标宋体A" w:cs="长城小标宋体A"/>
          <w:sz w:val="44"/>
          <w:szCs w:val="44"/>
          <w:lang w:val="en-US" w:eastAsia="zh-CN"/>
        </w:rPr>
      </w:pPr>
      <w:r>
        <w:rPr>
          <w:rFonts w:hint="eastAsia" w:ascii="长城小标宋体A" w:hAnsi="长城小标宋体A" w:eastAsia="长城小标宋体A" w:cs="长城小标宋体A"/>
          <w:sz w:val="44"/>
          <w:szCs w:val="44"/>
          <w:lang w:val="en-US" w:eastAsia="zh-CN"/>
        </w:rPr>
        <w:t>福建小额资产项目前端报名操作手册</w:t>
      </w:r>
      <w:bookmarkStart w:id="0" w:name="_GoBack"/>
      <w:bookmarkEnd w:id="0"/>
    </w:p>
    <w:p w14:paraId="7A87127E">
      <w:pPr>
        <w:jc w:val="center"/>
        <w:rPr>
          <w:rFonts w:hint="eastAsia" w:ascii="长城小标宋体A" w:hAnsi="长城小标宋体A" w:eastAsia="长城小标宋体A" w:cs="长城小标宋体A"/>
          <w:sz w:val="44"/>
          <w:szCs w:val="44"/>
          <w:lang w:val="en-US" w:eastAsia="zh-CN"/>
        </w:rPr>
      </w:pPr>
    </w:p>
    <w:p w14:paraId="4DA3908D">
      <w:pPr>
        <w:rPr>
          <w:rFonts w:hint="default"/>
          <w:lang w:val="en-US" w:eastAsia="zh-CN"/>
        </w:rPr>
      </w:pPr>
      <w:r>
        <w:rPr>
          <w:rStyle w:val="9"/>
          <w:rFonts w:hint="eastAsia"/>
          <w:sz w:val="32"/>
          <w:szCs w:val="40"/>
          <w:lang w:val="en-US" w:eastAsia="zh-CN"/>
        </w:rPr>
        <w:t>前言</w:t>
      </w:r>
      <w:r>
        <w:rPr>
          <w:rFonts w:hint="eastAsia"/>
          <w:lang w:val="en-US" w:eastAsia="zh-CN"/>
        </w:rPr>
        <w:t>：小额资产项目与其他产权租赁类项目报名操作上没有太大区别，主要区别在于保证金支付及后续价款结算方面，小额资产项目采取钱包模式进行余额充值、款项支付、余额退还。</w:t>
      </w:r>
    </w:p>
    <w:p w14:paraId="469342E6"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参与小额资产项目报名的</w:t>
      </w:r>
      <w:r>
        <w:rPr>
          <w:rFonts w:hint="eastAsia"/>
          <w:b/>
          <w:bCs/>
          <w:lang w:val="en-US" w:eastAsia="zh-CN"/>
        </w:rPr>
        <w:t>前提</w:t>
      </w:r>
      <w:r>
        <w:rPr>
          <w:rFonts w:hint="eastAsia"/>
          <w:lang w:val="en-US" w:eastAsia="zh-CN"/>
        </w:rPr>
        <w:t>是需要在第四产权官网或小程序、福建产权官网或小程序中进行注册和实名认证，实名成功后才可操作报名。</w:t>
      </w:r>
    </w:p>
    <w:p w14:paraId="398C1D0F"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注册和实名操作手册见链接：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"https://kdocs.cn/l/cowLxjHP17Lk"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[金山文档] 第四产权注册实名环节操作手册（2024.01.16）.pdf</w:t>
      </w:r>
      <w:r>
        <w:rPr>
          <w:rFonts w:hint="eastAsia"/>
          <w:lang w:val="en-US" w:eastAsia="zh-CN"/>
        </w:rPr>
        <w:fldChar w:fldCharType="end"/>
      </w:r>
    </w:p>
    <w:p w14:paraId="4A08BB16">
      <w:pPr>
        <w:pStyle w:val="4"/>
        <w:bidi w:val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第一部分：官网操作</w:t>
      </w:r>
    </w:p>
    <w:p w14:paraId="06806943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Style w:val="10"/>
          <w:rFonts w:hint="eastAsia"/>
          <w:sz w:val="32"/>
          <w:szCs w:val="40"/>
          <w:lang w:val="en-US" w:eastAsia="zh-CN"/>
        </w:rPr>
        <w:t>第四产权官网</w:t>
      </w:r>
      <w:r>
        <w:rPr>
          <w:rFonts w:hint="eastAsia"/>
          <w:lang w:val="en-US" w:eastAsia="zh-CN"/>
        </w:rPr>
        <w:t>（www.dscq.com)</w:t>
      </w:r>
    </w:p>
    <w:p w14:paraId="1605624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（1）报名</w:t>
      </w:r>
    </w:p>
    <w:p w14:paraId="3A542ACF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①首先进入第四产权官网，登录已实名的账号信息，点击搜索框查找所需报名的项目，点击报名并交纳保证金。</w:t>
      </w:r>
    </w:p>
    <w:p w14:paraId="53D10D2D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68595" cy="305625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9F5D">
      <w:pPr>
        <w:numPr>
          <w:ilvl w:val="0"/>
          <w:numId w:val="0"/>
        </w:numPr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②阅读勾选确认弹框中的提示内容，点击下一步</w:t>
      </w:r>
    </w:p>
    <w:p w14:paraId="6C1A83A1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66690" cy="31743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950D0">
      <w:pPr>
        <w:numPr>
          <w:ilvl w:val="0"/>
          <w:numId w:val="0"/>
        </w:num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③进行报名认证，此处需受委托人通过人脸识别或接收短信验证码的方式进行校验，校验通过后方可操作下一步</w:t>
      </w:r>
    </w:p>
    <w:p w14:paraId="242F7964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50180" cy="240792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83D6">
      <w:pPr>
        <w:numPr>
          <w:ilvl w:val="0"/>
          <w:numId w:val="0"/>
        </w:numPr>
        <w:ind w:firstLine="0" w:firstLineChars="0"/>
      </w:pPr>
    </w:p>
    <w:p w14:paraId="46DA9E2D">
      <w:pPr>
        <w:numPr>
          <w:ilvl w:val="0"/>
          <w:numId w:val="0"/>
        </w:numPr>
        <w:ind w:firstLine="0" w:firstLineChars="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④阅读确认报名须知、风险提示等内容，确认后点击提交报名。</w:t>
      </w:r>
    </w:p>
    <w:p w14:paraId="6985D86E">
      <w:pPr>
        <w:numPr>
          <w:ilvl w:val="0"/>
          <w:numId w:val="0"/>
        </w:num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72690"/>
            <wp:effectExtent l="0" t="0" r="1016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D82D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66690" cy="8280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87EC">
      <w:pPr>
        <w:numPr>
          <w:ilvl w:val="0"/>
          <w:numId w:val="0"/>
        </w:numPr>
        <w:ind w:firstLine="0" w:firstLineChars="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（2）交纳保证金</w:t>
      </w:r>
    </w:p>
    <w:p w14:paraId="64D39B65">
      <w:pPr>
        <w:numPr>
          <w:ilvl w:val="0"/>
          <w:numId w:val="0"/>
        </w:num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方式一：在提交报名后，弹出的支付页面，立马充值后刷新可用余额，操作支付。</w:t>
      </w:r>
    </w:p>
    <w:p w14:paraId="18DADA16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73040" cy="4712335"/>
            <wp:effectExtent l="0" t="0" r="381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0DF0">
      <w:pPr>
        <w:numPr>
          <w:ilvl w:val="0"/>
          <w:numId w:val="0"/>
        </w:numPr>
        <w:ind w:firstLine="0" w:firstLineChars="0"/>
      </w:pPr>
    </w:p>
    <w:p w14:paraId="46C6A384">
      <w:pPr>
        <w:numPr>
          <w:ilvl w:val="0"/>
          <w:numId w:val="0"/>
        </w:num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方式二：进入用户中心交纳</w:t>
      </w:r>
    </w:p>
    <w:p w14:paraId="4B24E402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①若您需要较长的时间来操作充值，您可以记录下卡号，在保证金交纳时间截止前操作充值，充值后进入【会员中心】——【账户资金】，选择对应银行卡（福建产权）。</w:t>
      </w:r>
    </w:p>
    <w:p w14:paraId="1B5F0F24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64785" cy="2463800"/>
            <wp:effectExtent l="0" t="0" r="1206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09C3">
      <w:pPr>
        <w:numPr>
          <w:ilvl w:val="0"/>
          <w:numId w:val="0"/>
        </w:numPr>
        <w:ind w:firstLine="0" w:firstLineChars="0"/>
      </w:pPr>
    </w:p>
    <w:p w14:paraId="3FBA1C99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②点击资金交纳，找到已报名的项目，点击支付款项，即可交纳保证金。请注意：</w:t>
      </w:r>
      <w:r>
        <w:rPr>
          <w:rFonts w:hint="eastAsia"/>
          <w:color w:val="FF0000"/>
          <w:lang w:val="en-US" w:eastAsia="zh-CN"/>
        </w:rPr>
        <w:t>（充值过程中若是机构用户报名，需用公司账户对公转款；若是个人用户报名，需使用个人实名的银行卡操作转款），</w:t>
      </w:r>
      <w:r>
        <w:rPr>
          <w:rFonts w:hint="eastAsia"/>
          <w:lang w:val="en-US" w:eastAsia="zh-CN"/>
        </w:rPr>
        <w:t>否则保证金无法匹配。</w:t>
      </w:r>
    </w:p>
    <w:p w14:paraId="354A15B7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73040" cy="3046730"/>
            <wp:effectExtent l="0" t="0" r="381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95EF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64150" cy="1807845"/>
            <wp:effectExtent l="0" t="0" r="1270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9960">
      <w:pPr>
        <w:numPr>
          <w:ilvl w:val="0"/>
          <w:numId w:val="0"/>
        </w:numPr>
        <w:ind w:firstLine="0" w:firstLineChars="0"/>
      </w:pPr>
    </w:p>
    <w:p w14:paraId="77B776F9">
      <w:pPr>
        <w:numPr>
          <w:ilvl w:val="0"/>
          <w:numId w:val="2"/>
        </w:num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项目竞价</w:t>
      </w:r>
    </w:p>
    <w:p w14:paraId="16E7C718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当提交的报名资格审核通过，且保证金足额交纳，我的项目中报名状态为报名成功后，竞买人可在会员中心——我的项目——竞价中，找到正在竞价的项目，进入竞价室参与竞价。</w:t>
      </w:r>
    </w:p>
    <w:p w14:paraId="27872FD2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023110"/>
            <wp:effectExtent l="0" t="0" r="12700" b="152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757E2">
      <w:pPr>
        <w:numPr>
          <w:ilvl w:val="0"/>
          <w:numId w:val="2"/>
        </w:numPr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项目交割</w:t>
      </w:r>
    </w:p>
    <w:p w14:paraId="14E91E17">
      <w:pPr>
        <w:numPr>
          <w:ilvl w:val="0"/>
          <w:numId w:val="0"/>
        </w:numPr>
        <w:ind w:firstLine="64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注：请切换登录福建省产权交易中心官网，点击【交易系统】，登录进入会员中心——我的项目中操作交割。</w:t>
      </w:r>
    </w:p>
    <w:p w14:paraId="3144D1BA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73675" cy="2280920"/>
            <wp:effectExtent l="0" t="0" r="3175" b="508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4B04">
      <w:pPr>
        <w:numPr>
          <w:ilvl w:val="0"/>
          <w:numId w:val="0"/>
        </w:numPr>
        <w:ind w:leftChars="0" w:firstLine="640" w:firstLineChars="20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下载交割确认模板，签字盖章后上传交割单，并确认交割</w:t>
      </w:r>
    </w:p>
    <w:p w14:paraId="6A2CAB21">
      <w:pPr>
        <w:numPr>
          <w:ilvl w:val="0"/>
          <w:numId w:val="0"/>
        </w:num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880360"/>
            <wp:effectExtent l="0" t="0" r="8890" b="1524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FEEA">
      <w:pPr>
        <w:numPr>
          <w:ilvl w:val="0"/>
          <w:numId w:val="0"/>
        </w:numPr>
        <w:ind w:firstLine="640" w:firstLineChars="200"/>
        <w:rPr>
          <w:rFonts w:hint="default"/>
          <w:color w:val="FF0000"/>
          <w:lang w:val="en-US" w:eastAsia="zh-CN"/>
        </w:rPr>
      </w:pPr>
    </w:p>
    <w:p w14:paraId="43CE6870">
      <w:pPr>
        <w:numPr>
          <w:ilvl w:val="0"/>
          <w:numId w:val="2"/>
        </w:numPr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文件下载</w:t>
      </w:r>
    </w:p>
    <w:p w14:paraId="2C8E9201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项目成交后，组织方会给竞买人发送交易凭证、成交通知书等文件。成交人可登录进入第四产权官网，点击会员中心——我的文件，找到对应项目，点击文件列表，查看相应文件，进行下载或预览。</w:t>
      </w:r>
    </w:p>
    <w:p w14:paraId="10F0ABEC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74310" cy="1880870"/>
            <wp:effectExtent l="0" t="0" r="2540" b="508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F829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66690" cy="1727200"/>
            <wp:effectExtent l="0" t="0" r="10160" b="635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65607">
      <w:pPr>
        <w:numPr>
          <w:ilvl w:val="0"/>
          <w:numId w:val="2"/>
        </w:num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项目结算</w:t>
      </w:r>
    </w:p>
    <w:p w14:paraId="6F035511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第四产权官网中小额资产项目结算同样需进入【账户资金】，充值余额后，在待处理订单中点击支付款项。</w:t>
      </w:r>
    </w:p>
    <w:p w14:paraId="6263A975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余额退还</w:t>
      </w:r>
    </w:p>
    <w:p w14:paraId="7A9134DC">
      <w:pPr>
        <w:numPr>
          <w:ilvl w:val="0"/>
          <w:numId w:val="0"/>
        </w:numPr>
        <w:ind w:leftChars="0" w:firstLine="640" w:firstLineChars="2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若您想要操作余额退还，您的账户中还存在可用余额的情况下，您可以点击【账户资金】——【余额退还】，选择需退还的卡号，操作退还。</w:t>
      </w:r>
      <w:r>
        <w:rPr>
          <w:rFonts w:hint="eastAsia"/>
          <w:color w:val="FF0000"/>
          <w:lang w:val="en-US" w:eastAsia="zh-CN"/>
        </w:rPr>
        <w:t>福建产权官网及福建产权小程序操作大致相同。</w:t>
      </w:r>
    </w:p>
    <w:p w14:paraId="67F9A2E3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</w:p>
    <w:p w14:paraId="630AEB0C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Style w:val="10"/>
          <w:rFonts w:hint="eastAsia"/>
          <w:sz w:val="32"/>
          <w:szCs w:val="40"/>
          <w:lang w:val="en-US" w:eastAsia="zh-CN"/>
        </w:rPr>
        <w:t>福建产权官网</w:t>
      </w:r>
      <w:r>
        <w:rPr>
          <w:rFonts w:hint="eastAsia"/>
          <w:lang w:val="en-US" w:eastAsia="zh-CN"/>
        </w:rPr>
        <w:t>（https://www.fjcqjy.com/）</w:t>
      </w:r>
    </w:p>
    <w:p w14:paraId="4AC7E85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（1）报名</w:t>
      </w:r>
    </w:p>
    <w:p w14:paraId="56350E6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①进入福建产权官网，点击【交易系统】，点击左上角登录已实名的账号信息，点击搜索框查找所需报名的项目，点击报名并交纳保证金。</w:t>
      </w:r>
    </w:p>
    <w:p w14:paraId="759AAEDD">
      <w:pPr>
        <w:numPr>
          <w:ilvl w:val="0"/>
          <w:numId w:val="0"/>
        </w:numPr>
      </w:pPr>
      <w:r>
        <w:drawing>
          <wp:inline distT="0" distB="0" distL="114300" distR="114300">
            <wp:extent cx="5266055" cy="3268345"/>
            <wp:effectExtent l="0" t="0" r="1079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BF42"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②确认已维护的开票信息，若开票信息内容不准确或未完善，请点击完善信息，进行维护保存后再返回操作报名。</w:t>
      </w:r>
    </w:p>
    <w:p w14:paraId="5E98A913">
      <w:pPr>
        <w:numPr>
          <w:ilvl w:val="0"/>
          <w:numId w:val="0"/>
        </w:numPr>
      </w:pPr>
      <w:r>
        <w:drawing>
          <wp:inline distT="0" distB="0" distL="114300" distR="114300">
            <wp:extent cx="5266055" cy="2844800"/>
            <wp:effectExtent l="0" t="0" r="1079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8B90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③填写报名信息后点击提交报名，等待后台经办人员审核（此处操作与第四产权官网一致）</w:t>
      </w:r>
    </w:p>
    <w:p w14:paraId="0744EE7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3210"/>
            <wp:effectExtent l="0" t="0" r="1016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C40D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交纳保证金</w:t>
      </w:r>
    </w:p>
    <w:p w14:paraId="377B648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方式一：当前页面交纳（和第四产权官网操作一致）</w:t>
      </w:r>
    </w:p>
    <w:p w14:paraId="62D21D88">
      <w:pPr>
        <w:numPr>
          <w:ilvl w:val="0"/>
          <w:numId w:val="0"/>
        </w:numPr>
        <w:ind w:firstLine="64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项目提交报名后，系统会自动生成一个银行子账户信息，您需向该子账户充值，充值后存在可用余额才能操作支付保证金。</w:t>
      </w:r>
      <w:r>
        <w:rPr>
          <w:rFonts w:hint="eastAsia"/>
          <w:color w:val="FF0000"/>
          <w:lang w:val="en-US" w:eastAsia="zh-CN"/>
        </w:rPr>
        <w:t xml:space="preserve">（充值过程中若是机构用户报名，需用公司账户对公转款；若是个人用户报名，需使用个人实名的银行卡操作转款） </w:t>
      </w:r>
    </w:p>
    <w:p w14:paraId="35DD24ED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若是单标的项目，会给您自动输入保证金支付金额，您只需点击【确认交纳】即可，若是资产包项目，如下图，保证金是一个区间范围，您就需要手动输入您想要交纳的金额，再点击【确认交纳】。</w:t>
      </w:r>
    </w:p>
    <w:p w14:paraId="1D509330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</w:p>
    <w:p w14:paraId="476CD884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69865" cy="44958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9989">
      <w:pPr>
        <w:numPr>
          <w:ilvl w:val="0"/>
          <w:numId w:val="0"/>
        </w:numPr>
        <w:ind w:firstLine="0" w:firstLineChars="0"/>
      </w:pPr>
    </w:p>
    <w:p w14:paraId="0ABA726B">
      <w:pPr>
        <w:numPr>
          <w:ilvl w:val="0"/>
          <w:numId w:val="0"/>
        </w:num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方式二：进入用户中心交纳</w:t>
      </w:r>
    </w:p>
    <w:p w14:paraId="0576CF1D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①若您需要较长的时间来操作充值，您可以记录下卡号，在保证金交纳时间截止前操作充值，充值后进入【会员中心】——【小额账户管理】，选择对应银行卡（福建产权）。</w:t>
      </w:r>
    </w:p>
    <w:p w14:paraId="67163316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71770" cy="2957195"/>
            <wp:effectExtent l="0" t="0" r="5080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FD98">
      <w:pPr>
        <w:numPr>
          <w:ilvl w:val="0"/>
          <w:numId w:val="0"/>
        </w:numPr>
        <w:ind w:firstLine="640" w:firstLineChars="200"/>
      </w:pPr>
    </w:p>
    <w:p w14:paraId="50843E4E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②待处理订单列表中点击资金交纳，找到已报名的项目，点击支付款项，即可交纳保证金，</w:t>
      </w:r>
      <w:r>
        <w:rPr>
          <w:rFonts w:hint="eastAsia"/>
          <w:color w:val="FF0000"/>
          <w:lang w:val="en-US" w:eastAsia="zh-CN"/>
        </w:rPr>
        <w:t>规则与第四产权官网一致。</w:t>
      </w:r>
      <w:r>
        <w:rPr>
          <w:rFonts w:hint="eastAsia"/>
          <w:lang w:val="en-US" w:eastAsia="zh-CN"/>
        </w:rPr>
        <w:t>项目结算也从该入口进入操作。</w:t>
      </w:r>
    </w:p>
    <w:p w14:paraId="51C0C54F">
      <w:pPr>
        <w:numPr>
          <w:ilvl w:val="0"/>
          <w:numId w:val="0"/>
        </w:numPr>
      </w:pPr>
      <w:r>
        <w:drawing>
          <wp:inline distT="0" distB="0" distL="114300" distR="114300">
            <wp:extent cx="5269230" cy="2561590"/>
            <wp:effectExtent l="0" t="0" r="7620" b="101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81CD">
      <w:pPr>
        <w:numPr>
          <w:ilvl w:val="0"/>
          <w:numId w:val="0"/>
        </w:numPr>
      </w:pPr>
      <w:r>
        <w:drawing>
          <wp:inline distT="0" distB="0" distL="114300" distR="114300">
            <wp:extent cx="5265420" cy="2423160"/>
            <wp:effectExtent l="0" t="0" r="11430" b="152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51996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项目竞价</w:t>
      </w:r>
    </w:p>
    <w:p w14:paraId="3BD47D6E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当提交的报名资格审核通过，且保证金足额交纳，我的项目中报名状态为报名成功后，竞买人可在会员中心——我的项目——竞价中，找到正在竞价的项目，进入竞价室参与竞价。（与在第四产权官网操作相同）</w:t>
      </w:r>
    </w:p>
    <w:p w14:paraId="74F632E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9BD8D21"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项目交割</w:t>
      </w:r>
    </w:p>
    <w:p w14:paraId="5C607DA1">
      <w:pPr>
        <w:numPr>
          <w:ilvl w:val="0"/>
          <w:numId w:val="0"/>
        </w:numPr>
        <w:ind w:leftChars="0" w:firstLine="64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注：项目交割仅能通过福建产权官网操作</w:t>
      </w:r>
    </w:p>
    <w:p w14:paraId="10522429">
      <w:pPr>
        <w:numPr>
          <w:ilvl w:val="0"/>
          <w:numId w:val="0"/>
        </w:numPr>
        <w:ind w:leftChars="0"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项目成交后，登录进入福建产权官网会员中心，点击我的项目——项目交割，找到待交割的项目，再次点击项目交割</w:t>
      </w:r>
    </w:p>
    <w:p w14:paraId="6E72D72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280920"/>
            <wp:effectExtent l="0" t="0" r="3175" b="508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6794">
      <w:pPr>
        <w:numPr>
          <w:ilvl w:val="0"/>
          <w:numId w:val="0"/>
        </w:numPr>
        <w:ind w:leftChars="0" w:firstLine="640" w:firstLineChars="20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下载交割确认模板，签字盖章后上传交割单，并确认交割</w:t>
      </w:r>
    </w:p>
    <w:p w14:paraId="467C242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880360"/>
            <wp:effectExtent l="0" t="0" r="8890" b="1524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2182"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文件下载</w:t>
      </w:r>
    </w:p>
    <w:p w14:paraId="07781A5B">
      <w:pPr>
        <w:numPr>
          <w:ilvl w:val="0"/>
          <w:numId w:val="0"/>
        </w:numPr>
        <w:ind w:leftChars="0"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项目成交后，组织方会给竞买人发送交易凭证、成交通知书等文件。成交人可登录进入福建省产权官网，点击会员中心——我的文件——交易凭证中，找到对应项目，点击下载文件。</w:t>
      </w:r>
    </w:p>
    <w:p w14:paraId="4E9938D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411095"/>
            <wp:effectExtent l="0" t="0" r="13970" b="825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AF322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项目结算</w:t>
      </w:r>
    </w:p>
    <w:p w14:paraId="146BD27E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福建产权官网中小额资产项目结算，需登录进入福建省产权交易中心官网，进入会员中心，点击小额资产账户管理，查看待处理订单，进行充值余额后，在待处理订单中点击支付款项。</w:t>
      </w:r>
    </w:p>
    <w:p w14:paraId="1434D4F4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69865" cy="2611755"/>
            <wp:effectExtent l="0" t="0" r="6985" b="1714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93E2">
      <w:pPr>
        <w:numPr>
          <w:ilvl w:val="0"/>
          <w:numId w:val="0"/>
        </w:numPr>
        <w:ind w:firstLine="0" w:firstLineChars="0"/>
      </w:pPr>
    </w:p>
    <w:p w14:paraId="3CBD5998">
      <w:pPr>
        <w:numPr>
          <w:ilvl w:val="0"/>
          <w:numId w:val="0"/>
        </w:numPr>
        <w:ind w:firstLine="0" w:firstLineChars="0"/>
      </w:pPr>
      <w:r>
        <w:drawing>
          <wp:inline distT="0" distB="0" distL="114300" distR="114300">
            <wp:extent cx="5270500" cy="2481580"/>
            <wp:effectExtent l="0" t="0" r="6350" b="1397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D105">
      <w:pPr>
        <w:numPr>
          <w:ilvl w:val="0"/>
          <w:numId w:val="0"/>
        </w:numPr>
        <w:ind w:firstLine="0" w:firstLineChars="0"/>
        <w:rPr>
          <w:rFonts w:hint="eastAsia"/>
          <w:lang w:val="en-US" w:eastAsia="zh-CN"/>
        </w:rPr>
      </w:pPr>
    </w:p>
    <w:p w14:paraId="2AB9850C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余额退还</w:t>
      </w:r>
    </w:p>
    <w:p w14:paraId="731C6543">
      <w:pPr>
        <w:numPr>
          <w:ilvl w:val="0"/>
          <w:numId w:val="0"/>
        </w:numPr>
        <w:ind w:leftChars="0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若您想要操作余额退还，您的账户中还存在可用余额的情况下，您可以点击【小额资产账户管理】——【余额退还】，选择需退还的卡号，操作退还。</w:t>
      </w:r>
    </w:p>
    <w:p w14:paraId="6F46C6F0">
      <w:pPr>
        <w:numPr>
          <w:ilvl w:val="0"/>
          <w:numId w:val="0"/>
        </w:numPr>
        <w:ind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719070"/>
            <wp:effectExtent l="0" t="0" r="13335" b="508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64A0">
      <w:pPr>
        <w:pStyle w:val="4"/>
        <w:bidi w:val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第二部分：小程序操作</w:t>
      </w:r>
    </w:p>
    <w:p w14:paraId="7DD3ABE8">
      <w:pPr>
        <w:numPr>
          <w:ilvl w:val="0"/>
          <w:numId w:val="4"/>
        </w:numPr>
        <w:rPr>
          <w:rStyle w:val="10"/>
          <w:rFonts w:hint="eastAsia" w:cstheme="minorBidi"/>
          <w:sz w:val="32"/>
          <w:szCs w:val="40"/>
          <w:lang w:val="en-US" w:eastAsia="zh-CN"/>
        </w:rPr>
      </w:pPr>
      <w:r>
        <w:rPr>
          <w:rStyle w:val="10"/>
          <w:rFonts w:hint="eastAsia" w:cstheme="minorBidi"/>
          <w:sz w:val="32"/>
          <w:szCs w:val="40"/>
          <w:lang w:val="en-US" w:eastAsia="zh-CN"/>
        </w:rPr>
        <w:t>第四产权小程序</w:t>
      </w:r>
    </w:p>
    <w:p w14:paraId="04C6D2AA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首先，微信搜索【第四产权小程序】，登录已实名的账号信息，在首页中搜索并找到所需报名的项目。</w:t>
      </w:r>
    </w:p>
    <w:p w14:paraId="76331B94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小程序报名操作流程与第四产权官网大致一致，此处仅对保证金交纳的不同之处做说明。</w:t>
      </w:r>
    </w:p>
    <w:p w14:paraId="3B612D9F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不同之处</w:t>
      </w:r>
      <w:r>
        <w:rPr>
          <w:rFonts w:hint="eastAsia"/>
          <w:sz w:val="32"/>
          <w:szCs w:val="40"/>
          <w:lang w:val="en-US" w:eastAsia="zh-CN"/>
        </w:rPr>
        <w:t>：第四产权小程序中，小额资产项目报名后，无【账户资金】入口，若您操作保证金转款的时间比较长，或者退出支付页面后，您可以点击</w:t>
      </w:r>
      <w:r>
        <w:rPr>
          <w:rFonts w:hint="eastAsia"/>
          <w:b/>
          <w:bCs/>
          <w:sz w:val="32"/>
          <w:szCs w:val="40"/>
          <w:lang w:val="en-US" w:eastAsia="zh-CN"/>
        </w:rPr>
        <w:t>我的保证金——找到对应的项目点击查看明细——点击追加保证金</w:t>
      </w:r>
      <w:r>
        <w:rPr>
          <w:rFonts w:hint="eastAsia"/>
          <w:sz w:val="32"/>
          <w:szCs w:val="40"/>
          <w:lang w:val="en-US" w:eastAsia="zh-CN"/>
        </w:rPr>
        <w:t>，在追加页面操作支付。</w:t>
      </w:r>
    </w:p>
    <w:p w14:paraId="10FC5F65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40"/>
          <w:lang w:val="en-US" w:eastAsia="zh-CN"/>
        </w:rPr>
      </w:pPr>
    </w:p>
    <w:p w14:paraId="5B2E982F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40"/>
          <w:lang w:val="en-US" w:eastAsia="zh-CN"/>
        </w:rPr>
      </w:pPr>
    </w:p>
    <w:p w14:paraId="5D3ADF7F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40"/>
          <w:lang w:val="en-US" w:eastAsia="zh-CN"/>
        </w:rPr>
      </w:pPr>
    </w:p>
    <w:p w14:paraId="0BA568B6"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①                         ②</w:t>
      </w:r>
    </w:p>
    <w:p w14:paraId="0293CEE1">
      <w:pPr>
        <w:numPr>
          <w:ilvl w:val="0"/>
          <w:numId w:val="0"/>
        </w:numPr>
        <w:ind w:firstLine="640" w:firstLineChars="200"/>
      </w:pPr>
      <w:r>
        <w:drawing>
          <wp:inline distT="0" distB="0" distL="114300" distR="114300">
            <wp:extent cx="2286000" cy="4006215"/>
            <wp:effectExtent l="0" t="0" r="0" b="133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7750" cy="3989705"/>
            <wp:effectExtent l="0" t="0" r="6350" b="1079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1315">
      <w:pPr>
        <w:numPr>
          <w:ilvl w:val="0"/>
          <w:numId w:val="0"/>
        </w:numPr>
        <w:ind w:firstLine="640" w:firstLineChars="20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③                       ④</w:t>
      </w:r>
    </w:p>
    <w:p w14:paraId="29C9514B">
      <w:pPr>
        <w:numPr>
          <w:ilvl w:val="0"/>
          <w:numId w:val="0"/>
        </w:numPr>
        <w:ind w:firstLine="640" w:firstLineChars="200"/>
      </w:pPr>
      <w:r>
        <w:drawing>
          <wp:inline distT="0" distB="0" distL="114300" distR="114300">
            <wp:extent cx="2230755" cy="3527425"/>
            <wp:effectExtent l="0" t="0" r="17145" b="1587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3519805"/>
            <wp:effectExtent l="0" t="0" r="2540" b="444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1AF8">
      <w:pPr>
        <w:numPr>
          <w:ilvl w:val="0"/>
          <w:numId w:val="0"/>
        </w:numPr>
        <w:ind w:firstLine="640" w:firstLineChars="200"/>
      </w:pPr>
    </w:p>
    <w:p w14:paraId="7D2E1189">
      <w:pPr>
        <w:numPr>
          <w:ilvl w:val="0"/>
          <w:numId w:val="4"/>
        </w:numPr>
        <w:rPr>
          <w:rStyle w:val="10"/>
          <w:rFonts w:hint="default" w:cstheme="minorBidi"/>
          <w:sz w:val="32"/>
          <w:szCs w:val="40"/>
          <w:lang w:val="en-US" w:eastAsia="zh-CN"/>
        </w:rPr>
      </w:pPr>
      <w:r>
        <w:rPr>
          <w:rStyle w:val="10"/>
          <w:rFonts w:hint="eastAsia" w:cstheme="minorBidi"/>
          <w:sz w:val="32"/>
          <w:szCs w:val="40"/>
          <w:lang w:val="en-US" w:eastAsia="zh-CN"/>
        </w:rPr>
        <w:t>福建产权小程序</w:t>
      </w:r>
    </w:p>
    <w:p w14:paraId="08142D12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期操作与第四产权小程序大致相同，区别在于福建产权小程序增加了【小额账户管理】入口，用户支付小额保证金可点击【小额账户管理】点击【待处理订单】进行资金交纳，后续价款等结算也可在该页面操作。</w:t>
      </w:r>
    </w:p>
    <w:p w14:paraId="64F78753"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2321560" cy="4092575"/>
            <wp:effectExtent l="0" t="0" r="2540" b="31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8395" cy="4111625"/>
            <wp:effectExtent l="0" t="0" r="1905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83D3">
      <w:pPr>
        <w:numPr>
          <w:ilvl w:val="0"/>
          <w:numId w:val="0"/>
        </w:numPr>
      </w:pPr>
    </w:p>
    <w:p w14:paraId="0D96F457">
      <w:pPr>
        <w:numPr>
          <w:ilvl w:val="0"/>
          <w:numId w:val="0"/>
        </w:numPr>
        <w:rPr>
          <w:rFonts w:hint="eastAsia" w:eastAsia="仿宋_GB2312"/>
          <w:lang w:val="en-US" w:eastAsia="zh-CN"/>
        </w:rPr>
      </w:pPr>
      <w:r>
        <w:rPr>
          <w:rFonts w:hint="eastAsia"/>
          <w:lang w:val="en-US" w:eastAsia="zh-CN"/>
        </w:rPr>
        <w:t>——End</w:t>
      </w:r>
    </w:p>
    <w:p w14:paraId="27D6133D">
      <w:pPr>
        <w:numPr>
          <w:ilvl w:val="0"/>
          <w:numId w:val="0"/>
        </w:numPr>
      </w:pPr>
    </w:p>
    <w:p w14:paraId="0E4B7D6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75CD383">
      <w:pPr>
        <w:numPr>
          <w:ilvl w:val="0"/>
          <w:numId w:val="0"/>
        </w:numPr>
        <w:ind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长城小标宋体A">
    <w:altName w:val="宋体"/>
    <w:panose1 w:val="02010609010101010101"/>
    <w:charset w:val="86"/>
    <w:family w:val="auto"/>
    <w:pitch w:val="default"/>
    <w:sig w:usb0="00000000" w:usb1="00000000" w:usb2="00000000" w:usb3="00000000" w:csb0="20160004" w:csb1="001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E91346"/>
    <w:multiLevelType w:val="singleLevel"/>
    <w:tmpl w:val="DFE9134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38208C3"/>
    <w:multiLevelType w:val="singleLevel"/>
    <w:tmpl w:val="E38208C3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34C3E00B"/>
    <w:multiLevelType w:val="singleLevel"/>
    <w:tmpl w:val="34C3E00B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6DD5143C"/>
    <w:multiLevelType w:val="singleLevel"/>
    <w:tmpl w:val="6DD5143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472A1A"/>
    <w:rsid w:val="05AA2098"/>
    <w:rsid w:val="091757C8"/>
    <w:rsid w:val="0CE73BD2"/>
    <w:rsid w:val="126B08A1"/>
    <w:rsid w:val="196F263C"/>
    <w:rsid w:val="1C6C6B9D"/>
    <w:rsid w:val="1C84298F"/>
    <w:rsid w:val="1DEC57A6"/>
    <w:rsid w:val="25DA49E2"/>
    <w:rsid w:val="2EDD1937"/>
    <w:rsid w:val="35FB40C6"/>
    <w:rsid w:val="36EE7787"/>
    <w:rsid w:val="405F169D"/>
    <w:rsid w:val="43627DC9"/>
    <w:rsid w:val="449A0F4E"/>
    <w:rsid w:val="47CF5A97"/>
    <w:rsid w:val="49472A1A"/>
    <w:rsid w:val="4E944C60"/>
    <w:rsid w:val="53395DD6"/>
    <w:rsid w:val="57EE53E1"/>
    <w:rsid w:val="596040BD"/>
    <w:rsid w:val="60535D86"/>
    <w:rsid w:val="64C86882"/>
    <w:rsid w:val="64F27162"/>
    <w:rsid w:val="6D521B17"/>
    <w:rsid w:val="73D2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微软雅黑" w:hAnsi="微软雅黑" w:eastAsia="仿宋_GB2312" w:cs="微软雅黑"/>
      <w:sz w:val="32"/>
      <w:szCs w:val="32"/>
      <w:lang w:val="en-US" w:eastAsia="en-US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 w:asciiTheme="minorAscii" w:hAnsiTheme="minorAscii"/>
      <w:kern w:val="44"/>
      <w:sz w:val="44"/>
    </w:rPr>
  </w:style>
  <w:style w:type="paragraph" w:styleId="4">
    <w:name w:val="heading 2"/>
    <w:basedOn w:val="1"/>
    <w:next w:val="1"/>
    <w:link w:val="9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楷体_GB2312"/>
      <w:b/>
      <w:sz w:val="24"/>
    </w:rPr>
  </w:style>
  <w:style w:type="paragraph" w:styleId="5">
    <w:name w:val="heading 3"/>
    <w:basedOn w:val="1"/>
    <w:next w:val="1"/>
    <w:link w:val="10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仿宋_GB2312" w:asciiTheme="minorAscii" w:hAnsiTheme="minorAscii"/>
      <w:sz w:val="2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标题 2 Char"/>
    <w:link w:val="4"/>
    <w:qFormat/>
    <w:uiPriority w:val="0"/>
    <w:rPr>
      <w:rFonts w:ascii="Arial" w:hAnsi="Arial" w:eastAsia="楷体_GB2312"/>
      <w:b/>
      <w:sz w:val="24"/>
    </w:rPr>
  </w:style>
  <w:style w:type="character" w:customStyle="1" w:styleId="10">
    <w:name w:val="标题 3 Char"/>
    <w:link w:val="5"/>
    <w:uiPriority w:val="0"/>
    <w:rPr>
      <w:rFonts w:eastAsia="仿宋_GB2312" w:asciiTheme="minorAscii" w:hAnsiTheme="minorAscii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2266</Words>
  <Characters>2314</Characters>
  <Lines>0</Lines>
  <Paragraphs>0</Paragraphs>
  <TotalTime>92</TotalTime>
  <ScaleCrop>false</ScaleCrop>
  <LinksUpToDate>false</LinksUpToDate>
  <CharactersWithSpaces>2364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2025-01-21T01:19:00Z</dcterms:created>
  <dc:creator>Reborn</dc:creator>
  <cp:lastModifiedBy>王爱华</cp:lastModifiedBy>
  <dcterms:modified xsi:type="dcterms:W3CDTF">2025-05-29T08:18:35Z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089BE74BF35B4EDBB39A082C8A35484F_13</vt:lpwstr>
  </property>
  <property fmtid="{D5CDD505-2E9C-101B-9397-08002B2CF9AE}" pid="4" name="KSOTemplateDocerSaveRecord">
    <vt:lpwstr>eyJoZGlkIjoiMGYzMmNlNGE5NjQwNGIwOGY5YTAyYTMxODMwNWU4OGUiLCJ1c2VySWQiOiIxNDYwMzAyNDI1In0=</vt:lpwstr>
  </property>
</Properties>
</file>